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04" w:rsidRPr="00C97D9C" w:rsidRDefault="00791C04">
      <w:pPr>
        <w:rPr>
          <w:b/>
          <w:u w:val="single"/>
        </w:rPr>
      </w:pPr>
      <w:r w:rsidRPr="00C97D9C">
        <w:rPr>
          <w:b/>
          <w:u w:val="single"/>
        </w:rPr>
        <w:t>Kijken naar kinderen: Constitutiebeelden.</w:t>
      </w:r>
    </w:p>
    <w:p w:rsidR="00791C04" w:rsidRPr="00C97D9C" w:rsidRDefault="00791C04">
      <w:pPr>
        <w:rPr>
          <w:b/>
          <w:u w:val="single"/>
        </w:rPr>
      </w:pPr>
    </w:p>
    <w:p w:rsidR="00791C04" w:rsidRPr="00791C04" w:rsidRDefault="00791C04">
      <w:pPr>
        <w:rPr>
          <w:b/>
        </w:rPr>
      </w:pPr>
      <w:r w:rsidRPr="00791C04">
        <w:rPr>
          <w:b/>
        </w:rPr>
        <w:t>Inleiding,</w:t>
      </w:r>
    </w:p>
    <w:p w:rsidR="00791C04" w:rsidRDefault="00791C04">
      <w:r w:rsidRPr="00791C04">
        <w:t>In het werken  met kinderen  worden we voortduren</w:t>
      </w:r>
      <w:r>
        <w:t>d met vragen geconfronteerd, vragen die via de kinderen uiteindelijk altijd betrekking hebben op onszelf. Steeds draait het om de centrale vraag: wat heeft dit kind in deze situatie van mij nodig.</w:t>
      </w:r>
      <w:r w:rsidR="004C7C78">
        <w:t xml:space="preserve"> Maar bepalend voor het welslagen van het beantwoorden van deze vraag is in hoeverre het lukt je als begeleider bezig te houden met de vervolgvragen: hoe lukt me dit te bieden  en waarom lukt dat wel/niet</w:t>
      </w:r>
    </w:p>
    <w:p w:rsidR="00791C04" w:rsidRDefault="00791C04">
      <w:r>
        <w:t xml:space="preserve">Om tot antwoorden te komen is het in eerste instantie van belang dat we op basis van de zuivere waarneming van de situatie, </w:t>
      </w:r>
      <w:r w:rsidR="00852CE7">
        <w:t xml:space="preserve">een beeld scheppen </w:t>
      </w:r>
      <w:r>
        <w:t>van het kind en zijn gedrag en van de eigen reactie hierop.</w:t>
      </w:r>
    </w:p>
    <w:p w:rsidR="004C7C78" w:rsidRDefault="00791C04">
      <w:r>
        <w:t xml:space="preserve">Met de zuivere waarneming wordt dan bedoeld de waarneming die niet gekleurd wordt door het persoonlijk oordeel, maar juist ontstaat door een </w:t>
      </w:r>
      <w:r w:rsidRPr="00791C04">
        <w:rPr>
          <w:i/>
        </w:rPr>
        <w:t>feitelijke</w:t>
      </w:r>
      <w:r>
        <w:t xml:space="preserve"> weergave van de situatie.</w:t>
      </w:r>
      <w:r w:rsidR="00FF1B89">
        <w:t xml:space="preserve"> Bij het beschrijven van deze feitelijkheid is er wel een kader nodig, een bril waardoor we naar de situatie kijken, die ons de mogelijkheid biedt onze waarnemingen te duiden. Zo kunnen we kijken door de bril van de temperamenten, de planeten of de elementen. </w:t>
      </w:r>
    </w:p>
    <w:p w:rsidR="00791C04" w:rsidRDefault="00FF1B89">
      <w:r>
        <w:t xml:space="preserve">In de scholing van Drakepit zullen de constitutiebeelden van Steiner een belangrijke plaats innemen. Deze beelden  gelden als een belangrijk instrument  in de heilpedagogie omdat ze inzicht geven in de lichamelijke basis van een menselijk organisme.  </w:t>
      </w:r>
      <w:r w:rsidR="004C7C78">
        <w:t>Deze basis is bepalend voor hoe een individualiteit tot bloei kan komen. Inzicht in hoe deze lichamelijkheid doorwerkt in een kind of in onszelf maakt het begrijpen van gedrag gemakkelijker.</w:t>
      </w:r>
    </w:p>
    <w:p w:rsidR="004C7C78" w:rsidRDefault="004C7C78">
      <w:r>
        <w:t>Met name als er sprake is van een disharmonie in deze lichamelijke basis bieden de richtlijnen van de Heilpedagogiek een genezende opvoeding waardoor de disbalans kan verdwijnen.</w:t>
      </w:r>
    </w:p>
    <w:p w:rsidR="004C7C78" w:rsidRDefault="004C7C78">
      <w:pPr>
        <w:rPr>
          <w:b/>
        </w:rPr>
      </w:pPr>
      <w:r>
        <w:rPr>
          <w:b/>
        </w:rPr>
        <w:t>Constitutiebeelden</w:t>
      </w:r>
    </w:p>
    <w:p w:rsidR="004C7C78" w:rsidRDefault="004C7C78">
      <w:r w:rsidRPr="004C7C78">
        <w:t>Het jonge kind beleeft de wereld vanuit het lichamelijke</w:t>
      </w:r>
      <w:r>
        <w:t>, het is immers de eerste zeven jaar voornamelijk bezig baas te worden over eigen lichaam. Hert pakt, grijpt, speelt, doet. Hierbij spelen verschillen in intelligentie en gevoelsleven nog een ondergeschikte rol. Verschillen uiten zich</w:t>
      </w:r>
      <w:r w:rsidR="002D54E9">
        <w:t xml:space="preserve"> in de lichamelijke sfeer. Je kunt hierbij de volgende </w:t>
      </w:r>
      <w:proofErr w:type="spellStart"/>
      <w:r w:rsidR="002D54E9">
        <w:t>wilstyperingen</w:t>
      </w:r>
      <w:proofErr w:type="spellEnd"/>
      <w:r w:rsidR="002D54E9">
        <w:t xml:space="preserve"> (van </w:t>
      </w:r>
      <w:proofErr w:type="spellStart"/>
      <w:r w:rsidR="002D54E9">
        <w:t>Sigeaud</w:t>
      </w:r>
      <w:proofErr w:type="spellEnd"/>
      <w:r w:rsidR="002D54E9">
        <w:t>) onderscheiden:</w:t>
      </w:r>
    </w:p>
    <w:p w:rsidR="002D54E9" w:rsidRDefault="002D54E9">
      <w:r w:rsidRPr="002D54E9">
        <w:rPr>
          <w:b/>
        </w:rPr>
        <w:t>Het cerebrale type</w:t>
      </w:r>
      <w:r w:rsidRPr="002D54E9">
        <w:t xml:space="preserve">: Hier overheerst het </w:t>
      </w:r>
      <w:proofErr w:type="spellStart"/>
      <w:r w:rsidRPr="002D54E9">
        <w:t>zenuwzintuigsysteem</w:t>
      </w:r>
      <w:proofErr w:type="spellEnd"/>
      <w:r w:rsidRPr="002D54E9">
        <w:t xml:space="preserve"> van een kind. Daarbij is het gevoelig voor zintuigindrukken</w:t>
      </w:r>
      <w:r>
        <w:t>. Het kind beleeft de wereld uit zijn hoofd.</w:t>
      </w:r>
    </w:p>
    <w:p w:rsidR="002D54E9" w:rsidRDefault="002D54E9">
      <w:r>
        <w:rPr>
          <w:b/>
        </w:rPr>
        <w:t>Het digestieve type:</w:t>
      </w:r>
      <w:r>
        <w:t xml:space="preserve"> Bij deze kinderen overheerst de stofwisseling. Het kind leeft op een tamelijk directe manier vanuit de stofwisseling (eten, snoepen) Reacties zijn vaak heftig als ze (met name op het gebied van eten) weerstand ondervinden.</w:t>
      </w:r>
    </w:p>
    <w:p w:rsidR="002D54E9" w:rsidRDefault="002D54E9">
      <w:r>
        <w:rPr>
          <w:b/>
        </w:rPr>
        <w:t xml:space="preserve">Het respiratoire type: </w:t>
      </w:r>
      <w:r>
        <w:t>Het ritmische gebied van de ademhaling overheerst en daardoor kan men dit type als tussenvorm tussen voorgaande beide typen opvatten. Deze kinderen zullen zich laten gelden op sociaal gebied, zijn daarin dan actiever dan andere eerder genoemde types, maar daarin ook uiterst eigenzinnig.</w:t>
      </w:r>
    </w:p>
    <w:p w:rsidR="002D54E9" w:rsidRDefault="002D54E9">
      <w:r>
        <w:rPr>
          <w:b/>
        </w:rPr>
        <w:lastRenderedPageBreak/>
        <w:t>Het musculaire type:</w:t>
      </w:r>
      <w:r>
        <w:t xml:space="preserve"> Dit ‘spiertype’ zou men kunnen zien als de meest harmonieuze behuizing voor de persoonlijkheid. Hier verbindt het kind zich optimaal met de </w:t>
      </w:r>
      <w:proofErr w:type="spellStart"/>
      <w:r>
        <w:t>wilssfeer</w:t>
      </w:r>
      <w:proofErr w:type="spellEnd"/>
      <w:r>
        <w:t>. Het toont een harmonieuze gestalte, een goed spierontwikkeling, is krachtig en handig.</w:t>
      </w:r>
    </w:p>
    <w:p w:rsidR="002D54E9" w:rsidRDefault="002D54E9">
      <w:r>
        <w:t xml:space="preserve">Prof. </w:t>
      </w:r>
      <w:proofErr w:type="spellStart"/>
      <w:r>
        <w:t>Lievegoed</w:t>
      </w:r>
      <w:proofErr w:type="spellEnd"/>
      <w:r>
        <w:t xml:space="preserve"> schrijft in zijn boek ‘Mensheid op de drempel’</w:t>
      </w:r>
      <w:r w:rsidR="00852CE7">
        <w:t xml:space="preserve"> </w:t>
      </w:r>
      <w:r>
        <w:t>over deze typeringen:</w:t>
      </w:r>
    </w:p>
    <w:p w:rsidR="002D54E9" w:rsidRDefault="002D54E9">
      <w:r>
        <w:t>“De constitutie bepaalt</w:t>
      </w:r>
      <w:r w:rsidR="00A40D2E">
        <w:t xml:space="preserve"> of men als violist, als fluitist of als trompettist door het leven gaat. </w:t>
      </w:r>
      <w:proofErr w:type="spellStart"/>
      <w:r w:rsidR="00A40D2E">
        <w:t>Wàt</w:t>
      </w:r>
      <w:proofErr w:type="spellEnd"/>
      <w:r w:rsidR="00A40D2E">
        <w:t xml:space="preserve"> men op het instrument gaat spelen is de zaak van het ‘IK’, de constitutie is de gestalte waarin het fysieke lichaam zich openbaart. Deze gestalte is in wezen drieledig: Hoofd, Romp, en Ledematen. Zelden is echter deze </w:t>
      </w:r>
      <w:proofErr w:type="spellStart"/>
      <w:r w:rsidR="00A40D2E">
        <w:t>drieëenheid</w:t>
      </w:r>
      <w:proofErr w:type="spellEnd"/>
      <w:r w:rsidR="00A40D2E">
        <w:t xml:space="preserve"> in evenwicht. Elk onderdeel van dat lichaam heeft zijn specifieke functie. Men kan uit de eenzijdigheid van de gestalte ook gevolgtrekkingen maken voor het constitutionele functioneren</w:t>
      </w:r>
      <w:r w:rsidR="00020472">
        <w:t xml:space="preserve"> van de totale mens. De constitutie is overheersend voor gedrag , gezondheid en ontwikkelingstendensen i n de eerste zeven jaar. Er moet </w:t>
      </w:r>
      <w:proofErr w:type="spellStart"/>
      <w:r w:rsidR="00020472">
        <w:t>dàn</w:t>
      </w:r>
      <w:proofErr w:type="spellEnd"/>
      <w:r w:rsidR="00020472">
        <w:t xml:space="preserve"> vooral naar de constitutie gekeken worden.</w:t>
      </w:r>
      <w:r w:rsidR="00852CE7">
        <w:t>”</w:t>
      </w:r>
    </w:p>
    <w:p w:rsidR="00020472" w:rsidRDefault="00020472">
      <w:r>
        <w:t xml:space="preserve">Zoals </w:t>
      </w:r>
      <w:proofErr w:type="spellStart"/>
      <w:r>
        <w:t>Lievegoed</w:t>
      </w:r>
      <w:proofErr w:type="spellEnd"/>
      <w:r>
        <w:t xml:space="preserve"> </w:t>
      </w:r>
      <w:r w:rsidR="00C97D9C">
        <w:t xml:space="preserve"> zegt is de ‘IK’ organisatie van belang in hoe een lichamelijk instrument gebruikt kan worden. Bij een zwakke functie van het ‘IK’, door welke reden dan ook, ontstaat een storende eenzijdigheid, die in wezen al in elke constitutie al aanwezig is. Deze disbalans kan in twee verschillende bewegingen verschijnen, ofwel naar de wereld toe gericht, los, uitvloeiend (centrifugaal) ofwel naar binnen, in zichzelf gericht, vast (centripetaal).</w:t>
      </w:r>
    </w:p>
    <w:p w:rsidR="00C97D9C" w:rsidRDefault="00C97D9C">
      <w:r>
        <w:t>In de constitutiebeelden ontstaat dan een volgend schema:</w:t>
      </w:r>
    </w:p>
    <w:tbl>
      <w:tblPr>
        <w:tblStyle w:val="Tabelraster"/>
        <w:tblW w:w="0" w:type="auto"/>
        <w:tblLook w:val="04A0"/>
      </w:tblPr>
      <w:tblGrid>
        <w:gridCol w:w="3070"/>
        <w:gridCol w:w="3071"/>
        <w:gridCol w:w="3071"/>
      </w:tblGrid>
      <w:tr w:rsidR="009167D7" w:rsidTr="009167D7">
        <w:tc>
          <w:tcPr>
            <w:tcW w:w="3070" w:type="dxa"/>
          </w:tcPr>
          <w:p w:rsidR="009167D7" w:rsidRDefault="009167D7" w:rsidP="009167D7">
            <w:r>
              <w:t>Gesloten, vast</w:t>
            </w:r>
          </w:p>
        </w:tc>
        <w:tc>
          <w:tcPr>
            <w:tcW w:w="3071" w:type="dxa"/>
          </w:tcPr>
          <w:p w:rsidR="009167D7" w:rsidRDefault="009167D7" w:rsidP="009167D7"/>
        </w:tc>
        <w:tc>
          <w:tcPr>
            <w:tcW w:w="3071" w:type="dxa"/>
          </w:tcPr>
          <w:p w:rsidR="009167D7" w:rsidRDefault="009167D7" w:rsidP="009167D7">
            <w:r>
              <w:t>Open, perifeer</w:t>
            </w:r>
          </w:p>
        </w:tc>
      </w:tr>
      <w:tr w:rsidR="009167D7" w:rsidTr="009167D7">
        <w:tc>
          <w:tcPr>
            <w:tcW w:w="3070" w:type="dxa"/>
          </w:tcPr>
          <w:p w:rsidR="009167D7" w:rsidRDefault="009167D7" w:rsidP="009167D7"/>
        </w:tc>
        <w:tc>
          <w:tcPr>
            <w:tcW w:w="3071" w:type="dxa"/>
          </w:tcPr>
          <w:p w:rsidR="009167D7" w:rsidRPr="009167D7" w:rsidRDefault="009167D7" w:rsidP="009167D7">
            <w:pPr>
              <w:rPr>
                <w:b/>
              </w:rPr>
            </w:pPr>
            <w:proofErr w:type="spellStart"/>
            <w:r>
              <w:rPr>
                <w:b/>
              </w:rPr>
              <w:t>Zenuwzintuigstelsel</w:t>
            </w:r>
            <w:proofErr w:type="spellEnd"/>
          </w:p>
        </w:tc>
        <w:tc>
          <w:tcPr>
            <w:tcW w:w="3071" w:type="dxa"/>
          </w:tcPr>
          <w:p w:rsidR="009167D7" w:rsidRDefault="009167D7" w:rsidP="009167D7"/>
        </w:tc>
      </w:tr>
      <w:tr w:rsidR="009167D7" w:rsidTr="009167D7">
        <w:tc>
          <w:tcPr>
            <w:tcW w:w="3070" w:type="dxa"/>
          </w:tcPr>
          <w:p w:rsidR="009167D7" w:rsidRDefault="00E92015" w:rsidP="009167D7">
            <w:r>
              <w:t>ijzerrrijk</w:t>
            </w:r>
            <w:r w:rsidR="009167D7">
              <w:t>, dwangmatig vasthouden, niet vergeten</w:t>
            </w:r>
          </w:p>
        </w:tc>
        <w:tc>
          <w:tcPr>
            <w:tcW w:w="3071" w:type="dxa"/>
          </w:tcPr>
          <w:p w:rsidR="009167D7" w:rsidRDefault="009167D7" w:rsidP="009167D7">
            <w:r>
              <w:t>Denken, herinneren</w:t>
            </w:r>
          </w:p>
        </w:tc>
        <w:tc>
          <w:tcPr>
            <w:tcW w:w="3071" w:type="dxa"/>
          </w:tcPr>
          <w:p w:rsidR="009167D7" w:rsidRDefault="009167D7" w:rsidP="009167D7">
            <w:r>
              <w:t>Zwavelrijk, overmatig vergeten, niet kunnen herinneren</w:t>
            </w:r>
          </w:p>
        </w:tc>
      </w:tr>
      <w:tr w:rsidR="009167D7" w:rsidTr="009167D7">
        <w:tc>
          <w:tcPr>
            <w:tcW w:w="3070" w:type="dxa"/>
          </w:tcPr>
          <w:p w:rsidR="009167D7" w:rsidRDefault="009167D7" w:rsidP="009167D7"/>
        </w:tc>
        <w:tc>
          <w:tcPr>
            <w:tcW w:w="3071" w:type="dxa"/>
          </w:tcPr>
          <w:p w:rsidR="009167D7" w:rsidRPr="009167D7" w:rsidRDefault="009167D7" w:rsidP="009167D7">
            <w:pPr>
              <w:rPr>
                <w:b/>
              </w:rPr>
            </w:pPr>
            <w:r w:rsidRPr="009167D7">
              <w:rPr>
                <w:b/>
              </w:rPr>
              <w:t>Ritmische stelsel</w:t>
            </w:r>
          </w:p>
        </w:tc>
        <w:tc>
          <w:tcPr>
            <w:tcW w:w="3071" w:type="dxa"/>
          </w:tcPr>
          <w:p w:rsidR="009167D7" w:rsidRDefault="009167D7" w:rsidP="009167D7"/>
        </w:tc>
      </w:tr>
      <w:tr w:rsidR="009167D7" w:rsidTr="009167D7">
        <w:tc>
          <w:tcPr>
            <w:tcW w:w="3070" w:type="dxa"/>
          </w:tcPr>
          <w:p w:rsidR="009167D7" w:rsidRDefault="009167D7" w:rsidP="00B241B0">
            <w:r>
              <w:t>Moeilijk zich verbinden, gestuwd</w:t>
            </w:r>
          </w:p>
        </w:tc>
        <w:tc>
          <w:tcPr>
            <w:tcW w:w="3071" w:type="dxa"/>
          </w:tcPr>
          <w:p w:rsidR="009167D7" w:rsidRDefault="009167D7" w:rsidP="009167D7">
            <w:r>
              <w:t>Verhouding tot de omgeving</w:t>
            </w:r>
          </w:p>
        </w:tc>
        <w:tc>
          <w:tcPr>
            <w:tcW w:w="3071" w:type="dxa"/>
          </w:tcPr>
          <w:p w:rsidR="009167D7" w:rsidRDefault="009167D7" w:rsidP="00A504DC">
            <w:r>
              <w:t>Zich verliezen, uitvloeiend</w:t>
            </w:r>
          </w:p>
        </w:tc>
      </w:tr>
      <w:tr w:rsidR="009167D7" w:rsidTr="009167D7">
        <w:tc>
          <w:tcPr>
            <w:tcW w:w="3070" w:type="dxa"/>
          </w:tcPr>
          <w:p w:rsidR="009167D7" w:rsidRDefault="009167D7" w:rsidP="009167D7"/>
        </w:tc>
        <w:tc>
          <w:tcPr>
            <w:tcW w:w="3071" w:type="dxa"/>
          </w:tcPr>
          <w:p w:rsidR="009167D7" w:rsidRDefault="009167D7" w:rsidP="009167D7">
            <w:proofErr w:type="spellStart"/>
            <w:r>
              <w:t>Stofwisselings</w:t>
            </w:r>
            <w:proofErr w:type="spellEnd"/>
            <w:r>
              <w:t xml:space="preserve"> -ledematenstelsel</w:t>
            </w:r>
          </w:p>
        </w:tc>
        <w:tc>
          <w:tcPr>
            <w:tcW w:w="3071" w:type="dxa"/>
          </w:tcPr>
          <w:p w:rsidR="009167D7" w:rsidRDefault="009167D7" w:rsidP="009167D7"/>
        </w:tc>
      </w:tr>
      <w:tr w:rsidR="009167D7" w:rsidTr="009167D7">
        <w:tc>
          <w:tcPr>
            <w:tcW w:w="3070" w:type="dxa"/>
          </w:tcPr>
          <w:p w:rsidR="009167D7" w:rsidRDefault="009167D7" w:rsidP="009167D7">
            <w:r>
              <w:t>Te zwaar, bewegingsarmoede</w:t>
            </w:r>
          </w:p>
        </w:tc>
        <w:tc>
          <w:tcPr>
            <w:tcW w:w="3071" w:type="dxa"/>
          </w:tcPr>
          <w:p w:rsidR="009167D7" w:rsidRDefault="009167D7" w:rsidP="009167D7">
            <w:r>
              <w:t>Willen en handelen</w:t>
            </w:r>
          </w:p>
        </w:tc>
        <w:tc>
          <w:tcPr>
            <w:tcW w:w="3071" w:type="dxa"/>
          </w:tcPr>
          <w:p w:rsidR="009167D7" w:rsidRDefault="009167D7" w:rsidP="009167D7">
            <w:r>
              <w:t xml:space="preserve">Te licht, </w:t>
            </w:r>
            <w:proofErr w:type="spellStart"/>
            <w:r>
              <w:t>overbeweeglijk</w:t>
            </w:r>
            <w:proofErr w:type="spellEnd"/>
          </w:p>
        </w:tc>
      </w:tr>
    </w:tbl>
    <w:p w:rsidR="00C97D9C" w:rsidRDefault="00C97D9C" w:rsidP="009167D7"/>
    <w:p w:rsidR="004668C7" w:rsidRDefault="00E211D2" w:rsidP="009167D7">
      <w:r>
        <w:t>In zeer beknopte vorm</w:t>
      </w:r>
      <w:r w:rsidR="004668C7">
        <w:t xml:space="preserve"> volgen nu de belangrijkste kenmerken van deze constitutiebeelden.</w:t>
      </w:r>
    </w:p>
    <w:p w:rsidR="004668C7" w:rsidRDefault="004668C7" w:rsidP="009167D7">
      <w:pPr>
        <w:rPr>
          <w:b/>
        </w:rPr>
      </w:pPr>
      <w:r>
        <w:rPr>
          <w:b/>
        </w:rPr>
        <w:t xml:space="preserve"> Het te zware kind</w:t>
      </w:r>
    </w:p>
    <w:p w:rsidR="004668C7" w:rsidRPr="004668C7" w:rsidRDefault="004668C7" w:rsidP="004668C7">
      <w:pPr>
        <w:pStyle w:val="Lijstalinea"/>
        <w:numPr>
          <w:ilvl w:val="0"/>
          <w:numId w:val="1"/>
        </w:numPr>
      </w:pPr>
      <w:r w:rsidRPr="004668C7">
        <w:t>Traag in stofwisselingsprocessen</w:t>
      </w:r>
    </w:p>
    <w:p w:rsidR="004668C7" w:rsidRPr="004668C7" w:rsidRDefault="004668C7" w:rsidP="004668C7">
      <w:pPr>
        <w:pStyle w:val="Lijstalinea"/>
        <w:numPr>
          <w:ilvl w:val="0"/>
          <w:numId w:val="1"/>
        </w:numPr>
      </w:pPr>
      <w:r w:rsidRPr="004668C7">
        <w:t>Zwaar in de beweging</w:t>
      </w:r>
    </w:p>
    <w:p w:rsidR="004668C7" w:rsidRPr="004668C7" w:rsidRDefault="004668C7" w:rsidP="004668C7">
      <w:pPr>
        <w:pStyle w:val="Lijstalinea"/>
        <w:numPr>
          <w:ilvl w:val="0"/>
          <w:numId w:val="1"/>
        </w:numPr>
      </w:pPr>
      <w:r w:rsidRPr="004668C7">
        <w:t>Prikkels worden traag verwerkt.</w:t>
      </w:r>
    </w:p>
    <w:p w:rsidR="004668C7" w:rsidRDefault="004668C7" w:rsidP="004668C7">
      <w:r w:rsidRPr="004668C7">
        <w:t>Probeer dit kind in beweging te brengen, lokken met grapjes, lekker eten, gezelligheid. Enthousiasmeren, Humor!</w:t>
      </w:r>
    </w:p>
    <w:p w:rsidR="004668C7" w:rsidRDefault="004668C7" w:rsidP="004668C7">
      <w:pPr>
        <w:rPr>
          <w:b/>
        </w:rPr>
      </w:pPr>
      <w:r w:rsidRPr="004668C7">
        <w:rPr>
          <w:b/>
        </w:rPr>
        <w:t>Het te lichte kind</w:t>
      </w:r>
    </w:p>
    <w:p w:rsidR="004668C7" w:rsidRPr="004668C7" w:rsidRDefault="004668C7" w:rsidP="004668C7">
      <w:pPr>
        <w:pStyle w:val="Lijstalinea"/>
        <w:numPr>
          <w:ilvl w:val="0"/>
          <w:numId w:val="3"/>
        </w:numPr>
      </w:pPr>
      <w:r w:rsidRPr="004668C7">
        <w:t>Te licht in het stofwisselingsledematen stelsel</w:t>
      </w:r>
    </w:p>
    <w:p w:rsidR="004668C7" w:rsidRPr="004668C7" w:rsidRDefault="004668C7" w:rsidP="004668C7">
      <w:pPr>
        <w:pStyle w:val="Lijstalinea"/>
        <w:numPr>
          <w:ilvl w:val="0"/>
          <w:numId w:val="3"/>
        </w:numPr>
      </w:pPr>
      <w:r w:rsidRPr="004668C7">
        <w:t>Geen controle over bewegingsimpulsen, gebrek aam concentratie</w:t>
      </w:r>
    </w:p>
    <w:p w:rsidR="004668C7" w:rsidRPr="004668C7" w:rsidRDefault="004668C7" w:rsidP="004668C7">
      <w:pPr>
        <w:pStyle w:val="Lijstalinea"/>
        <w:numPr>
          <w:ilvl w:val="0"/>
          <w:numId w:val="3"/>
        </w:numPr>
      </w:pPr>
      <w:r w:rsidRPr="004668C7">
        <w:lastRenderedPageBreak/>
        <w:t>Moet reageren op elke prikkel</w:t>
      </w:r>
    </w:p>
    <w:p w:rsidR="004668C7" w:rsidRDefault="004668C7" w:rsidP="004668C7">
      <w:r w:rsidRPr="004668C7">
        <w:t>Consequente structuur, inkaderen, afgebakende ruimte</w:t>
      </w:r>
    </w:p>
    <w:p w:rsidR="004668C7" w:rsidRDefault="004668C7" w:rsidP="004668C7"/>
    <w:p w:rsidR="004668C7" w:rsidRDefault="004668C7" w:rsidP="004668C7">
      <w:pPr>
        <w:rPr>
          <w:b/>
        </w:rPr>
      </w:pPr>
      <w:r>
        <w:rPr>
          <w:b/>
        </w:rPr>
        <w:t xml:space="preserve">Het </w:t>
      </w:r>
      <w:r w:rsidR="00DD1E4C">
        <w:rPr>
          <w:b/>
        </w:rPr>
        <w:t xml:space="preserve"> te </w:t>
      </w:r>
      <w:r>
        <w:rPr>
          <w:b/>
        </w:rPr>
        <w:t>gestuwde kind.</w:t>
      </w:r>
    </w:p>
    <w:p w:rsidR="004668C7" w:rsidRPr="00C46C4F" w:rsidRDefault="00C46C4F" w:rsidP="004668C7">
      <w:pPr>
        <w:pStyle w:val="Lijstalinea"/>
        <w:numPr>
          <w:ilvl w:val="0"/>
          <w:numId w:val="4"/>
        </w:numPr>
        <w:rPr>
          <w:b/>
        </w:rPr>
      </w:pPr>
      <w:r>
        <w:t>Zwakke lichamelijke basis, niet lekker in hun vel</w:t>
      </w:r>
    </w:p>
    <w:p w:rsidR="00C46C4F" w:rsidRPr="00C46C4F" w:rsidRDefault="00C46C4F" w:rsidP="004668C7">
      <w:pPr>
        <w:pStyle w:val="Lijstalinea"/>
        <w:numPr>
          <w:ilvl w:val="0"/>
          <w:numId w:val="4"/>
        </w:numPr>
        <w:rPr>
          <w:b/>
        </w:rPr>
      </w:pPr>
      <w:r>
        <w:t>Prikkels en gevoelens kunnen niet verwerkt worden, alles is gauw teveel</w:t>
      </w:r>
    </w:p>
    <w:p w:rsidR="00C46C4F" w:rsidRPr="00C46C4F" w:rsidRDefault="00C46C4F" w:rsidP="004668C7">
      <w:pPr>
        <w:pStyle w:val="Lijstalinea"/>
        <w:numPr>
          <w:ilvl w:val="0"/>
          <w:numId w:val="4"/>
        </w:numPr>
        <w:rPr>
          <w:b/>
        </w:rPr>
      </w:pPr>
      <w:r>
        <w:t>Deze kinderen zijn niet helemaal wakker</w:t>
      </w:r>
    </w:p>
    <w:p w:rsidR="00C46C4F" w:rsidRPr="00C46C4F" w:rsidRDefault="00C46C4F" w:rsidP="004668C7">
      <w:pPr>
        <w:pStyle w:val="Lijstalinea"/>
        <w:numPr>
          <w:ilvl w:val="0"/>
          <w:numId w:val="4"/>
        </w:numPr>
        <w:rPr>
          <w:b/>
        </w:rPr>
      </w:pPr>
      <w:r>
        <w:t>Als er teveel stuwing is moet er een heftige ontlading komen</w:t>
      </w:r>
    </w:p>
    <w:p w:rsidR="00C46C4F" w:rsidRDefault="00C46C4F" w:rsidP="00C46C4F">
      <w:r w:rsidRPr="00C46C4F">
        <w:t>Hou de kinderen erbij, door ze steeds wakker te houd</w:t>
      </w:r>
      <w:r>
        <w:t xml:space="preserve">en, bijv. door een aanraking. Zorg voor een goede stroom, waardoor de kans op stuwing afneemt. </w:t>
      </w:r>
    </w:p>
    <w:p w:rsidR="00C46C4F" w:rsidRDefault="00C46C4F" w:rsidP="00C46C4F">
      <w:pPr>
        <w:rPr>
          <w:b/>
        </w:rPr>
      </w:pPr>
      <w:r>
        <w:rPr>
          <w:b/>
        </w:rPr>
        <w:t xml:space="preserve"> Het </w:t>
      </w:r>
      <w:r w:rsidR="00DD1E4C">
        <w:rPr>
          <w:b/>
        </w:rPr>
        <w:t>te open</w:t>
      </w:r>
      <w:r>
        <w:rPr>
          <w:b/>
        </w:rPr>
        <w:t xml:space="preserve"> kind</w:t>
      </w:r>
    </w:p>
    <w:p w:rsidR="00C46C4F" w:rsidRDefault="00C46C4F" w:rsidP="00C46C4F">
      <w:pPr>
        <w:pStyle w:val="Lijstalinea"/>
        <w:numPr>
          <w:ilvl w:val="0"/>
          <w:numId w:val="5"/>
        </w:numPr>
      </w:pPr>
      <w:r w:rsidRPr="00C46C4F">
        <w:t>Dit kind verblijft bij voorkeur niet bij zichzelf, maar liever bij de ander</w:t>
      </w:r>
      <w:r w:rsidR="00A87867">
        <w:t>.</w:t>
      </w:r>
    </w:p>
    <w:p w:rsidR="00A87867" w:rsidRDefault="00852CE7" w:rsidP="00C46C4F">
      <w:pPr>
        <w:pStyle w:val="Lijstalinea"/>
        <w:numPr>
          <w:ilvl w:val="0"/>
          <w:numId w:val="5"/>
        </w:numPr>
      </w:pPr>
      <w:r>
        <w:t>Is erg emotioneel  kwetsbaar, gevoelig voor omgevingsinvloeden en prikkels</w:t>
      </w:r>
    </w:p>
    <w:p w:rsidR="00852CE7" w:rsidRDefault="00852CE7" w:rsidP="00C46C4F">
      <w:pPr>
        <w:pStyle w:val="Lijstalinea"/>
        <w:numPr>
          <w:ilvl w:val="0"/>
          <w:numId w:val="5"/>
        </w:numPr>
      </w:pPr>
      <w:r>
        <w:t>Helder waarnemingsvermogen</w:t>
      </w:r>
    </w:p>
    <w:p w:rsidR="00852CE7" w:rsidRDefault="00852CE7" w:rsidP="00C46C4F">
      <w:pPr>
        <w:pStyle w:val="Lijstalinea"/>
        <w:numPr>
          <w:ilvl w:val="0"/>
          <w:numId w:val="5"/>
        </w:numPr>
      </w:pPr>
      <w:r>
        <w:t>Fantasievolle, creatieve kinderen</w:t>
      </w:r>
    </w:p>
    <w:p w:rsidR="00852CE7" w:rsidRDefault="00852CE7" w:rsidP="00852CE7">
      <w:r>
        <w:t xml:space="preserve">Biedt ze omhulling, in de vorm van extra beschermende laag kleding, </w:t>
      </w:r>
      <w:proofErr w:type="spellStart"/>
      <w:r>
        <w:t>inwrijvingen</w:t>
      </w:r>
      <w:proofErr w:type="spellEnd"/>
      <w:r>
        <w:t xml:space="preserve"> of een omhullend gebaar. Probeer echter wel innerlijk een zekere afstand te bewaren.</w:t>
      </w:r>
    </w:p>
    <w:p w:rsidR="00852CE7" w:rsidRDefault="00852CE7" w:rsidP="00852CE7"/>
    <w:p w:rsidR="00852CE7" w:rsidRDefault="00852CE7" w:rsidP="00852CE7">
      <w:pPr>
        <w:rPr>
          <w:b/>
        </w:rPr>
      </w:pPr>
      <w:r>
        <w:rPr>
          <w:b/>
        </w:rPr>
        <w:t xml:space="preserve"> Het</w:t>
      </w:r>
      <w:r w:rsidR="00DD1E4C">
        <w:rPr>
          <w:b/>
        </w:rPr>
        <w:t xml:space="preserve"> te</w:t>
      </w:r>
      <w:r>
        <w:rPr>
          <w:b/>
        </w:rPr>
        <w:t xml:space="preserve"> dwangmatige kind</w:t>
      </w:r>
    </w:p>
    <w:p w:rsidR="00034A43" w:rsidRDefault="00852CE7" w:rsidP="00852CE7">
      <w:pPr>
        <w:pStyle w:val="Lijstalinea"/>
        <w:numPr>
          <w:ilvl w:val="0"/>
          <w:numId w:val="6"/>
        </w:numPr>
      </w:pPr>
      <w:r w:rsidRPr="00852CE7">
        <w:t>Dit kind kan niet vergeten’</w:t>
      </w:r>
      <w:r>
        <w:t xml:space="preserve">, </w:t>
      </w:r>
      <w:r w:rsidR="00034A43">
        <w:t xml:space="preserve"> gedachten blijven in de</w:t>
      </w:r>
    </w:p>
    <w:p w:rsidR="00852CE7" w:rsidRDefault="00DD1E4C" w:rsidP="00852CE7">
      <w:pPr>
        <w:pStyle w:val="Lijstalinea"/>
        <w:numPr>
          <w:ilvl w:val="0"/>
          <w:numId w:val="6"/>
        </w:numPr>
      </w:pPr>
      <w:r>
        <w:t>een ijze</w:t>
      </w:r>
      <w:r w:rsidR="00852CE7">
        <w:t>rrijke constitutie, meestal met donker haar.</w:t>
      </w:r>
    </w:p>
    <w:p w:rsidR="00852CE7" w:rsidRDefault="00852CE7" w:rsidP="00852CE7">
      <w:pPr>
        <w:pStyle w:val="Lijstalinea"/>
        <w:numPr>
          <w:ilvl w:val="0"/>
          <w:numId w:val="6"/>
        </w:numPr>
      </w:pPr>
      <w:r>
        <w:t>Niet soepel in de beweging</w:t>
      </w:r>
    </w:p>
    <w:p w:rsidR="00852CE7" w:rsidRDefault="00DD1E4C" w:rsidP="00852CE7">
      <w:pPr>
        <w:pStyle w:val="Lijstalinea"/>
        <w:numPr>
          <w:ilvl w:val="0"/>
          <w:numId w:val="6"/>
        </w:numPr>
      </w:pPr>
      <w:r>
        <w:t>Sterk in de zintuig</w:t>
      </w:r>
      <w:r w:rsidR="00852CE7">
        <w:t>lijke waarnemingen, ernstig</w:t>
      </w:r>
      <w:r>
        <w:t>, wakker</w:t>
      </w:r>
    </w:p>
    <w:p w:rsidR="00DD1E4C" w:rsidRDefault="00DD1E4C" w:rsidP="00DD1E4C">
      <w:r>
        <w:t>Probeer ontspanning te krijgen in het denken, warmte bieden, wakkerheid niet vergroten, probeer deze kinderen meer in hun lijfje te krijgen.</w:t>
      </w:r>
    </w:p>
    <w:p w:rsidR="00DD1E4C" w:rsidRDefault="00DD1E4C" w:rsidP="00DD1E4C"/>
    <w:p w:rsidR="00DD1E4C" w:rsidRDefault="00DD1E4C" w:rsidP="00DD1E4C">
      <w:pPr>
        <w:rPr>
          <w:b/>
        </w:rPr>
      </w:pPr>
      <w:r>
        <w:rPr>
          <w:b/>
        </w:rPr>
        <w:t>Het te vergeetachtige kind</w:t>
      </w:r>
    </w:p>
    <w:p w:rsidR="00DD1E4C" w:rsidRPr="00DD1E4C" w:rsidRDefault="00DD1E4C" w:rsidP="00DD1E4C">
      <w:pPr>
        <w:pStyle w:val="Lijstalinea"/>
        <w:numPr>
          <w:ilvl w:val="0"/>
          <w:numId w:val="7"/>
        </w:numPr>
        <w:rPr>
          <w:b/>
        </w:rPr>
      </w:pPr>
      <w:r>
        <w:t>Gebeurtenissen en ervaringen verdwijnen, herinneringen beklijven niet</w:t>
      </w:r>
    </w:p>
    <w:p w:rsidR="00DD1E4C" w:rsidRPr="00DD1E4C" w:rsidRDefault="00DD1E4C" w:rsidP="00DD1E4C">
      <w:pPr>
        <w:pStyle w:val="Lijstalinea"/>
        <w:numPr>
          <w:ilvl w:val="0"/>
          <w:numId w:val="7"/>
        </w:numPr>
        <w:rPr>
          <w:b/>
        </w:rPr>
      </w:pPr>
      <w:r>
        <w:t>Zwavelrijke constitutie, rossig haar</w:t>
      </w:r>
    </w:p>
    <w:p w:rsidR="00DD1E4C" w:rsidRPr="00DD1E4C" w:rsidRDefault="00DD1E4C" w:rsidP="00DD1E4C">
      <w:pPr>
        <w:pStyle w:val="Lijstalinea"/>
        <w:numPr>
          <w:ilvl w:val="0"/>
          <w:numId w:val="7"/>
        </w:numPr>
        <w:rPr>
          <w:b/>
        </w:rPr>
      </w:pPr>
      <w:r>
        <w:t>Slechte waarneming, aandacht is vluchtig</w:t>
      </w:r>
    </w:p>
    <w:p w:rsidR="00DD1E4C" w:rsidRPr="00DD1E4C" w:rsidRDefault="00DD1E4C" w:rsidP="00DD1E4C">
      <w:r>
        <w:t xml:space="preserve">Herhaling is het beste instrument voor deze kinderen, gewoontes kunnen dan inslijten. </w:t>
      </w:r>
    </w:p>
    <w:sectPr w:rsidR="00DD1E4C" w:rsidRPr="00DD1E4C" w:rsidSect="001850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B3" w:rsidRDefault="00C459B3" w:rsidP="004668C7">
      <w:pPr>
        <w:spacing w:after="0" w:line="240" w:lineRule="auto"/>
      </w:pPr>
      <w:r>
        <w:separator/>
      </w:r>
    </w:p>
  </w:endnote>
  <w:endnote w:type="continuationSeparator" w:id="0">
    <w:p w:rsidR="00C459B3" w:rsidRDefault="00C459B3" w:rsidP="0046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B3" w:rsidRDefault="00C459B3" w:rsidP="004668C7">
      <w:pPr>
        <w:spacing w:after="0" w:line="240" w:lineRule="auto"/>
      </w:pPr>
      <w:r>
        <w:separator/>
      </w:r>
    </w:p>
  </w:footnote>
  <w:footnote w:type="continuationSeparator" w:id="0">
    <w:p w:rsidR="00C459B3" w:rsidRDefault="00C459B3" w:rsidP="0046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4EA"/>
    <w:multiLevelType w:val="hybridMultilevel"/>
    <w:tmpl w:val="14209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4B03A0"/>
    <w:multiLevelType w:val="hybridMultilevel"/>
    <w:tmpl w:val="9F948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9D4E4D"/>
    <w:multiLevelType w:val="hybridMultilevel"/>
    <w:tmpl w:val="319C8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820627"/>
    <w:multiLevelType w:val="hybridMultilevel"/>
    <w:tmpl w:val="79BCA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A36426"/>
    <w:multiLevelType w:val="hybridMultilevel"/>
    <w:tmpl w:val="BAA61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5F1B4F"/>
    <w:multiLevelType w:val="hybridMultilevel"/>
    <w:tmpl w:val="AAD6831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nsid w:val="7D103484"/>
    <w:multiLevelType w:val="hybridMultilevel"/>
    <w:tmpl w:val="F24C0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1C04"/>
    <w:rsid w:val="00020472"/>
    <w:rsid w:val="00034A43"/>
    <w:rsid w:val="00185058"/>
    <w:rsid w:val="0029018D"/>
    <w:rsid w:val="002D54E9"/>
    <w:rsid w:val="002F5C21"/>
    <w:rsid w:val="004668C7"/>
    <w:rsid w:val="004C7C78"/>
    <w:rsid w:val="004F020A"/>
    <w:rsid w:val="00533BC0"/>
    <w:rsid w:val="00621A51"/>
    <w:rsid w:val="0067775D"/>
    <w:rsid w:val="00791C04"/>
    <w:rsid w:val="00852CE7"/>
    <w:rsid w:val="009167D7"/>
    <w:rsid w:val="00A40D2E"/>
    <w:rsid w:val="00A87867"/>
    <w:rsid w:val="00BB4C16"/>
    <w:rsid w:val="00C459B3"/>
    <w:rsid w:val="00C46C4F"/>
    <w:rsid w:val="00C97D9C"/>
    <w:rsid w:val="00CE0C41"/>
    <w:rsid w:val="00DD1E4C"/>
    <w:rsid w:val="00E0799C"/>
    <w:rsid w:val="00E211D2"/>
    <w:rsid w:val="00E74B5A"/>
    <w:rsid w:val="00E92015"/>
    <w:rsid w:val="00EF7046"/>
    <w:rsid w:val="00FF1B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0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97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4668C7"/>
    <w:pPr>
      <w:ind w:left="720"/>
      <w:contextualSpacing/>
    </w:pPr>
  </w:style>
  <w:style w:type="paragraph" w:styleId="Koptekst">
    <w:name w:val="header"/>
    <w:basedOn w:val="Standaard"/>
    <w:link w:val="KoptekstChar"/>
    <w:uiPriority w:val="99"/>
    <w:semiHidden/>
    <w:unhideWhenUsed/>
    <w:rsid w:val="004668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668C7"/>
  </w:style>
  <w:style w:type="paragraph" w:styleId="Voettekst">
    <w:name w:val="footer"/>
    <w:basedOn w:val="Standaard"/>
    <w:link w:val="VoettekstChar"/>
    <w:uiPriority w:val="99"/>
    <w:semiHidden/>
    <w:unhideWhenUsed/>
    <w:rsid w:val="004668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668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1042</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Drakepit</dc:creator>
  <cp:lastModifiedBy>Tessa</cp:lastModifiedBy>
  <cp:revision>13</cp:revision>
  <cp:lastPrinted>2011-05-12T21:59:00Z</cp:lastPrinted>
  <dcterms:created xsi:type="dcterms:W3CDTF">2009-09-30T10:06:00Z</dcterms:created>
  <dcterms:modified xsi:type="dcterms:W3CDTF">2011-05-12T21:59:00Z</dcterms:modified>
</cp:coreProperties>
</file>